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4D13E" w14:textId="0F6B970B" w:rsidR="00A15BBC" w:rsidRDefault="00A15BBC" w:rsidP="004A25F1">
      <w:pPr>
        <w:jc w:val="center"/>
        <w:rPr>
          <w:rFonts w:ascii="Times New Roman" w:hAnsi="Times New Roman"/>
          <w:b/>
        </w:rPr>
      </w:pPr>
      <w:r>
        <w:rPr>
          <w:rFonts w:ascii="Times New Roman" w:hAnsi="Times New Roman"/>
          <w:b/>
        </w:rPr>
        <w:t xml:space="preserve">Appendix </w:t>
      </w:r>
      <w:r w:rsidR="00D447F7">
        <w:rPr>
          <w:rFonts w:ascii="Times New Roman" w:hAnsi="Times New Roman"/>
          <w:b/>
        </w:rPr>
        <w:t>Chapter 5</w:t>
      </w:r>
      <w:bookmarkStart w:id="0" w:name="_GoBack"/>
      <w:bookmarkEnd w:id="0"/>
    </w:p>
    <w:p w14:paraId="375B0514" w14:textId="53F9B4E6" w:rsidR="00104D66" w:rsidRDefault="005F7FFB" w:rsidP="004A25F1">
      <w:pPr>
        <w:jc w:val="center"/>
        <w:rPr>
          <w:rFonts w:ascii="Times New Roman" w:hAnsi="Times New Roman"/>
          <w:b/>
        </w:rPr>
      </w:pPr>
      <w:r>
        <w:rPr>
          <w:rFonts w:ascii="Times New Roman" w:hAnsi="Times New Roman"/>
          <w:b/>
        </w:rPr>
        <w:t>Definitions of Educational Equity</w:t>
      </w:r>
      <w:r w:rsidR="00104D66">
        <w:rPr>
          <w:rFonts w:ascii="Times New Roman" w:hAnsi="Times New Roman"/>
          <w:b/>
        </w:rPr>
        <w:t xml:space="preserve"> Worksheet</w:t>
      </w:r>
    </w:p>
    <w:p w14:paraId="39DEA89B" w14:textId="77777777" w:rsidR="00104D66" w:rsidRDefault="00104D66" w:rsidP="004A25F1">
      <w:pPr>
        <w:jc w:val="center"/>
        <w:rPr>
          <w:rFonts w:ascii="Times New Roman" w:hAnsi="Times New Roman"/>
          <w:b/>
        </w:rPr>
      </w:pPr>
    </w:p>
    <w:p w14:paraId="017AD68E" w14:textId="77777777" w:rsidR="00104D66" w:rsidRDefault="00104D66" w:rsidP="00104D66">
      <w:pPr>
        <w:rPr>
          <w:rFonts w:ascii="Times New Roman" w:hAnsi="Times New Roman"/>
          <w:b/>
        </w:rPr>
      </w:pPr>
      <w:r>
        <w:rPr>
          <w:rFonts w:ascii="Times New Roman" w:hAnsi="Times New Roman"/>
          <w:b/>
        </w:rPr>
        <w:t>Definitions of educational equity:</w:t>
      </w:r>
    </w:p>
    <w:p w14:paraId="06B759DE" w14:textId="77777777" w:rsidR="00104D66" w:rsidRDefault="00104D66" w:rsidP="00104D66">
      <w:pPr>
        <w:rPr>
          <w:rFonts w:ascii="Times New Roman" w:hAnsi="Times New Roman"/>
          <w:b/>
        </w:rPr>
      </w:pPr>
    </w:p>
    <w:p w14:paraId="42FF4628" w14:textId="77777777" w:rsidR="00104D66" w:rsidRDefault="00104D66" w:rsidP="00104D66">
      <w:pPr>
        <w:rPr>
          <w:rFonts w:ascii="Times New Roman" w:hAnsi="Times New Roman"/>
          <w:b/>
        </w:rPr>
      </w:pPr>
      <w:r>
        <w:rPr>
          <w:rFonts w:ascii="Times New Roman" w:hAnsi="Times New Roman"/>
          <w:b/>
        </w:rPr>
        <w:t>Enid Lee (2002):</w:t>
      </w:r>
    </w:p>
    <w:p w14:paraId="0784432C" w14:textId="77777777" w:rsidR="00104D66" w:rsidRDefault="00104D66" w:rsidP="00104D66">
      <w:pPr>
        <w:rPr>
          <w:rFonts w:ascii="Times New Roman" w:hAnsi="Times New Roman"/>
          <w:b/>
        </w:rPr>
      </w:pPr>
    </w:p>
    <w:p w14:paraId="605C87DD" w14:textId="56334253" w:rsidR="006B5DB5" w:rsidRPr="00F30087" w:rsidRDefault="006B5DB5" w:rsidP="00104D66">
      <w:pPr>
        <w:rPr>
          <w:rFonts w:ascii="Times New Roman" w:hAnsi="Times New Roman"/>
        </w:rPr>
      </w:pPr>
      <w:r w:rsidRPr="00F30087">
        <w:rPr>
          <w:rFonts w:ascii="Times New Roman" w:hAnsi="Times New Roman"/>
        </w:rPr>
        <w:t xml:space="preserve">“The principle of altering current practices and perspectives to teach for social transformation and to promote equitable learning outcomes for students for all social groups.”  </w:t>
      </w:r>
    </w:p>
    <w:p w14:paraId="7CE2C542" w14:textId="77777777" w:rsidR="00104D66" w:rsidRDefault="00104D66" w:rsidP="00104D66">
      <w:pPr>
        <w:rPr>
          <w:rFonts w:ascii="Times New Roman" w:hAnsi="Times New Roman"/>
          <w:b/>
        </w:rPr>
      </w:pPr>
    </w:p>
    <w:p w14:paraId="698962F6" w14:textId="4A17B5F1" w:rsidR="00F30087" w:rsidRDefault="00F30087">
      <w:pPr>
        <w:rPr>
          <w:rFonts w:ascii="Times New Roman" w:hAnsi="Times New Roman"/>
          <w:b/>
        </w:rPr>
      </w:pPr>
      <w:r>
        <w:rPr>
          <w:rFonts w:ascii="Times New Roman" w:hAnsi="Times New Roman"/>
          <w:b/>
        </w:rPr>
        <w:t>Glenn Singleton</w:t>
      </w:r>
      <w:r w:rsidR="006B5DB5">
        <w:rPr>
          <w:rFonts w:ascii="Times New Roman" w:hAnsi="Times New Roman"/>
          <w:b/>
        </w:rPr>
        <w:t xml:space="preserve"> (</w:t>
      </w:r>
      <w:r w:rsidR="00BD549A">
        <w:rPr>
          <w:rFonts w:ascii="Times New Roman" w:hAnsi="Times New Roman"/>
          <w:b/>
        </w:rPr>
        <w:t>2015)</w:t>
      </w:r>
    </w:p>
    <w:p w14:paraId="495A6F4A" w14:textId="77777777" w:rsidR="00F30087" w:rsidRPr="00AF575D" w:rsidRDefault="00F30087">
      <w:pPr>
        <w:rPr>
          <w:rFonts w:ascii="Times New Roman" w:hAnsi="Times New Roman"/>
          <w:b/>
        </w:rPr>
      </w:pPr>
    </w:p>
    <w:p w14:paraId="36E46E02" w14:textId="77777777" w:rsidR="00631D75" w:rsidRPr="00AF575D" w:rsidRDefault="00F30087">
      <w:pPr>
        <w:rPr>
          <w:rFonts w:ascii="Times New Roman" w:eastAsia="Times New Roman" w:hAnsi="Times New Roman"/>
          <w:szCs w:val="24"/>
        </w:rPr>
      </w:pPr>
      <w:r w:rsidRPr="00AF575D">
        <w:rPr>
          <w:rFonts w:ascii="Times New Roman" w:eastAsia="Times New Roman" w:hAnsi="Times New Roman"/>
          <w:bCs/>
          <w:szCs w:val="24"/>
        </w:rPr>
        <w:t>“Equity in education</w:t>
      </w:r>
      <w:r w:rsidRPr="00AF575D">
        <w:rPr>
          <w:rFonts w:ascii="Times New Roman" w:eastAsia="Times New Roman" w:hAnsi="Times New Roman"/>
          <w:szCs w:val="24"/>
        </w:rPr>
        <w:t xml:space="preserve"> is raising the achievement of all students while: narrowing the gaps between the highest- and lowest-performing students; and eliminating the racial predictability and disproportionality of which student groups occupy the highest and lowest achievement categories.”</w:t>
      </w:r>
    </w:p>
    <w:p w14:paraId="341D8CD7" w14:textId="77777777" w:rsidR="00631D75" w:rsidRPr="00AF575D" w:rsidRDefault="00631D75">
      <w:pPr>
        <w:rPr>
          <w:rFonts w:ascii="Times New Roman" w:eastAsia="Times New Roman" w:hAnsi="Times New Roman"/>
          <w:szCs w:val="24"/>
        </w:rPr>
      </w:pPr>
    </w:p>
    <w:p w14:paraId="0731C4DB" w14:textId="168F98C0" w:rsidR="00AF575D" w:rsidRDefault="00AF575D">
      <w:pPr>
        <w:rPr>
          <w:rFonts w:ascii="Times New Roman" w:hAnsi="Times New Roman"/>
          <w:b/>
          <w:szCs w:val="24"/>
        </w:rPr>
      </w:pPr>
      <w:r>
        <w:rPr>
          <w:rFonts w:ascii="Times New Roman" w:hAnsi="Times New Roman"/>
          <w:b/>
          <w:szCs w:val="24"/>
        </w:rPr>
        <w:t>Edward Fergus (2015)</w:t>
      </w:r>
    </w:p>
    <w:p w14:paraId="5BCBE390" w14:textId="77777777" w:rsidR="00AF575D" w:rsidRDefault="00AF575D">
      <w:pPr>
        <w:rPr>
          <w:rFonts w:ascii="Times New Roman" w:hAnsi="Times New Roman"/>
          <w:b/>
          <w:szCs w:val="24"/>
        </w:rPr>
      </w:pPr>
    </w:p>
    <w:p w14:paraId="799098F3" w14:textId="77777777" w:rsidR="00A813CE" w:rsidRDefault="00AF575D">
      <w:pPr>
        <w:rPr>
          <w:rFonts w:ascii="Times New Roman" w:hAnsi="Times New Roman"/>
          <w:szCs w:val="24"/>
        </w:rPr>
      </w:pPr>
      <w:r>
        <w:rPr>
          <w:rFonts w:ascii="Times New Roman" w:hAnsi="Times New Roman"/>
          <w:szCs w:val="24"/>
        </w:rPr>
        <w:t xml:space="preserve">“Equity is seeing someone differently in order to treat them fairly. The idea is each individual has unique dynamics of how they have experienced society and such experiences must be taken into consideration in defining the equitable practice necessary to achieve the desired outcome. For example, </w:t>
      </w:r>
      <w:proofErr w:type="gramStart"/>
      <w:r>
        <w:rPr>
          <w:rFonts w:ascii="Times New Roman" w:hAnsi="Times New Roman"/>
          <w:szCs w:val="24"/>
        </w:rPr>
        <w:t>if</w:t>
      </w:r>
      <w:proofErr w:type="gramEnd"/>
      <w:r>
        <w:rPr>
          <w:rFonts w:ascii="Times New Roman" w:hAnsi="Times New Roman"/>
          <w:szCs w:val="24"/>
        </w:rPr>
        <w:t xml:space="preserve"> I’m teaching the history of agriculture in the US to students from a rural farming community without taking in their experiences would mean not harnessing their knowledge base.” </w:t>
      </w:r>
    </w:p>
    <w:p w14:paraId="6B016C46" w14:textId="77777777" w:rsidR="00A813CE" w:rsidRDefault="00A813CE">
      <w:pPr>
        <w:rPr>
          <w:rFonts w:ascii="Times New Roman" w:hAnsi="Times New Roman"/>
          <w:szCs w:val="24"/>
        </w:rPr>
      </w:pPr>
    </w:p>
    <w:p w14:paraId="7E2AC359" w14:textId="3F66B304" w:rsidR="00A813CE" w:rsidRDefault="00A813CE">
      <w:pPr>
        <w:rPr>
          <w:rFonts w:ascii="Times New Roman" w:hAnsi="Times New Roman"/>
          <w:b/>
          <w:szCs w:val="24"/>
        </w:rPr>
      </w:pPr>
      <w:r>
        <w:rPr>
          <w:rFonts w:ascii="Times New Roman" w:hAnsi="Times New Roman"/>
          <w:b/>
          <w:szCs w:val="24"/>
        </w:rPr>
        <w:t>H. Richard Milner</w:t>
      </w:r>
      <w:r w:rsidR="00BD549A">
        <w:rPr>
          <w:rFonts w:ascii="Times New Roman" w:hAnsi="Times New Roman"/>
          <w:b/>
          <w:szCs w:val="24"/>
        </w:rPr>
        <w:t xml:space="preserve"> (2012)</w:t>
      </w:r>
    </w:p>
    <w:p w14:paraId="7A5CD9F6" w14:textId="77777777" w:rsidR="00A813CE" w:rsidRDefault="00A813CE">
      <w:pPr>
        <w:rPr>
          <w:rFonts w:ascii="Times New Roman" w:hAnsi="Times New Roman"/>
          <w:b/>
          <w:szCs w:val="24"/>
        </w:rPr>
      </w:pPr>
    </w:p>
    <w:p w14:paraId="57229E6A" w14:textId="554C4635" w:rsidR="00A813CE" w:rsidRPr="00BD549A" w:rsidRDefault="00BD549A">
      <w:pPr>
        <w:rPr>
          <w:rFonts w:ascii="Times New Roman" w:hAnsi="Times New Roman"/>
          <w:b/>
          <w:szCs w:val="24"/>
        </w:rPr>
      </w:pPr>
      <w:r w:rsidRPr="00BD549A">
        <w:rPr>
          <w:rFonts w:ascii="Times New Roman" w:eastAsia="Times New Roman" w:hAnsi="Times New Roman"/>
          <w:szCs w:val="24"/>
        </w:rPr>
        <w:t>“People’s beliefs about race informed by the areas outlined above shape what they do and do not do in practice. Although race is a central construct used to examine educational outcomes, policies, and practices, the depth and breadth of its applications are limited in public and academic discourse. For instance, people often talk about an “achievement gap” and disparities between white and black/brown students. However, race is not treated in any substantive way beyond reporting the data outcomes.”</w:t>
      </w:r>
    </w:p>
    <w:p w14:paraId="66241FA6" w14:textId="77777777" w:rsidR="00A813CE" w:rsidRDefault="00A813CE">
      <w:pPr>
        <w:rPr>
          <w:rFonts w:ascii="Times New Roman" w:hAnsi="Times New Roman"/>
          <w:b/>
          <w:szCs w:val="24"/>
        </w:rPr>
      </w:pPr>
    </w:p>
    <w:p w14:paraId="12DF06AA" w14:textId="77777777" w:rsidR="00A813CE" w:rsidRDefault="00A813CE">
      <w:pPr>
        <w:rPr>
          <w:rFonts w:ascii="Times New Roman" w:hAnsi="Times New Roman"/>
          <w:b/>
          <w:szCs w:val="24"/>
        </w:rPr>
      </w:pPr>
    </w:p>
    <w:p w14:paraId="40D1E437" w14:textId="18F571AF" w:rsidR="00A813CE" w:rsidRDefault="00A813CE">
      <w:pPr>
        <w:rPr>
          <w:rFonts w:ascii="Times New Roman" w:hAnsi="Times New Roman"/>
          <w:b/>
          <w:szCs w:val="24"/>
        </w:rPr>
      </w:pPr>
      <w:r>
        <w:rPr>
          <w:rFonts w:ascii="Times New Roman" w:hAnsi="Times New Roman"/>
          <w:b/>
          <w:szCs w:val="24"/>
        </w:rPr>
        <w:t xml:space="preserve">Gloria Ladson-Billings </w:t>
      </w:r>
      <w:r w:rsidR="00351000">
        <w:rPr>
          <w:rFonts w:ascii="Times New Roman" w:hAnsi="Times New Roman"/>
          <w:b/>
          <w:szCs w:val="24"/>
        </w:rPr>
        <w:t>(1995)</w:t>
      </w:r>
    </w:p>
    <w:p w14:paraId="4B5C9534" w14:textId="6AEA996B" w:rsidR="00392DBC" w:rsidRPr="002D5433" w:rsidRDefault="00BD549A" w:rsidP="002D5433">
      <w:pPr>
        <w:pStyle w:val="NormalWeb"/>
        <w:rPr>
          <w:sz w:val="24"/>
          <w:szCs w:val="24"/>
        </w:rPr>
      </w:pPr>
      <w:r w:rsidRPr="00BD549A">
        <w:rPr>
          <w:rFonts w:ascii="Times New Roman" w:hAnsi="Times New Roman"/>
          <w:sz w:val="24"/>
          <w:szCs w:val="24"/>
        </w:rPr>
        <w:t>“I have defined culturally relevant teaching as a pedagogy of opposition (1992c) not unlike critical pedagogy but specifically committed to collective, not merely individual, empowerment. Culturally relevant pedagogy rests on three criteria or propositions: (a) Students must experience academic success; (b) students must develop and/or maintain cultural competence; and (c) students must develop a critical consciousness through which they challenge the status quo of the current social order.”</w:t>
      </w:r>
    </w:p>
    <w:p w14:paraId="4961D4CA" w14:textId="77777777" w:rsidR="00392DBC" w:rsidRDefault="00392DBC">
      <w:pPr>
        <w:rPr>
          <w:rFonts w:ascii="Times New Roman" w:hAnsi="Times New Roman"/>
          <w:b/>
          <w:szCs w:val="24"/>
        </w:rPr>
      </w:pPr>
    </w:p>
    <w:p w14:paraId="492D3222" w14:textId="77777777" w:rsidR="00392DBC" w:rsidRDefault="00392DBC">
      <w:pPr>
        <w:rPr>
          <w:rFonts w:ascii="Times New Roman" w:hAnsi="Times New Roman"/>
          <w:b/>
          <w:szCs w:val="24"/>
        </w:rPr>
      </w:pPr>
    </w:p>
    <w:p w14:paraId="65E919A4" w14:textId="77777777" w:rsidR="00392DBC" w:rsidRDefault="00392DBC">
      <w:pPr>
        <w:rPr>
          <w:rFonts w:ascii="Times New Roman" w:hAnsi="Times New Roman"/>
          <w:b/>
          <w:szCs w:val="24"/>
        </w:rPr>
      </w:pPr>
    </w:p>
    <w:p w14:paraId="3A8999DF" w14:textId="77777777" w:rsidR="00392DBC" w:rsidRDefault="00392DBC">
      <w:pPr>
        <w:rPr>
          <w:rFonts w:ascii="Times New Roman" w:hAnsi="Times New Roman"/>
          <w:b/>
          <w:szCs w:val="24"/>
        </w:rPr>
      </w:pPr>
    </w:p>
    <w:p w14:paraId="4BE0CC10" w14:textId="77777777" w:rsidR="00392DBC" w:rsidRDefault="00392DBC">
      <w:pPr>
        <w:rPr>
          <w:rFonts w:ascii="Times New Roman" w:hAnsi="Times New Roman"/>
          <w:b/>
          <w:szCs w:val="24"/>
        </w:rPr>
      </w:pPr>
    </w:p>
    <w:p w14:paraId="0A0169AB" w14:textId="77777777" w:rsidR="00392DBC" w:rsidRDefault="00392DBC">
      <w:pPr>
        <w:rPr>
          <w:rFonts w:ascii="Times New Roman" w:hAnsi="Times New Roman"/>
          <w:b/>
          <w:szCs w:val="24"/>
        </w:rPr>
      </w:pPr>
    </w:p>
    <w:p w14:paraId="1F2DA50B" w14:textId="77777777" w:rsidR="00392DBC" w:rsidRDefault="00392DBC">
      <w:pPr>
        <w:rPr>
          <w:rFonts w:ascii="Times New Roman" w:hAnsi="Times New Roman"/>
          <w:b/>
          <w:szCs w:val="24"/>
        </w:rPr>
      </w:pPr>
    </w:p>
    <w:p w14:paraId="3521521E" w14:textId="77777777" w:rsidR="00392DBC" w:rsidRDefault="00392DBC">
      <w:pPr>
        <w:rPr>
          <w:rFonts w:ascii="Times New Roman" w:hAnsi="Times New Roman"/>
          <w:b/>
          <w:szCs w:val="24"/>
        </w:rPr>
      </w:pPr>
    </w:p>
    <w:p w14:paraId="40252CA5" w14:textId="77777777" w:rsidR="00392DBC" w:rsidRDefault="00392DBC">
      <w:pPr>
        <w:rPr>
          <w:rFonts w:ascii="Times New Roman" w:hAnsi="Times New Roman"/>
          <w:b/>
          <w:szCs w:val="24"/>
        </w:rPr>
      </w:pPr>
    </w:p>
    <w:p w14:paraId="4CE5CCA4" w14:textId="113CEB31" w:rsidR="005F7FFB" w:rsidRDefault="005F7FFB" w:rsidP="005F7FFB">
      <w:pPr>
        <w:jc w:val="center"/>
        <w:rPr>
          <w:rFonts w:ascii="Times New Roman" w:hAnsi="Times New Roman"/>
          <w:b/>
          <w:szCs w:val="24"/>
        </w:rPr>
      </w:pPr>
      <w:r>
        <w:rPr>
          <w:rFonts w:ascii="Times New Roman" w:hAnsi="Times New Roman"/>
          <w:b/>
          <w:szCs w:val="24"/>
        </w:rPr>
        <w:t>Responding to Definitions of Educational Equity</w:t>
      </w:r>
    </w:p>
    <w:p w14:paraId="3D8422EE" w14:textId="77777777" w:rsidR="005F7FFB" w:rsidRDefault="005F7FFB" w:rsidP="005F7FFB">
      <w:pPr>
        <w:jc w:val="center"/>
        <w:rPr>
          <w:rFonts w:ascii="Times New Roman" w:hAnsi="Times New Roman"/>
          <w:b/>
          <w:szCs w:val="24"/>
        </w:rPr>
      </w:pPr>
    </w:p>
    <w:p w14:paraId="69176B66" w14:textId="77777777" w:rsidR="005F7FFB" w:rsidRDefault="005F7FFB" w:rsidP="005F7FFB">
      <w:pPr>
        <w:jc w:val="center"/>
        <w:rPr>
          <w:rFonts w:ascii="Times New Roman" w:hAnsi="Times New Roman"/>
          <w:b/>
          <w:szCs w:val="24"/>
        </w:rPr>
      </w:pPr>
    </w:p>
    <w:tbl>
      <w:tblPr>
        <w:tblStyle w:val="TableGrid"/>
        <w:tblW w:w="0" w:type="auto"/>
        <w:tblLook w:val="04A0" w:firstRow="1" w:lastRow="0" w:firstColumn="1" w:lastColumn="0" w:noHBand="0" w:noVBand="1"/>
      </w:tblPr>
      <w:tblGrid>
        <w:gridCol w:w="1818"/>
        <w:gridCol w:w="2796"/>
        <w:gridCol w:w="2796"/>
        <w:gridCol w:w="2796"/>
      </w:tblGrid>
      <w:tr w:rsidR="005F7FFB" w14:paraId="19C1D894" w14:textId="77777777" w:rsidTr="005F7FFB">
        <w:tc>
          <w:tcPr>
            <w:tcW w:w="1818" w:type="dxa"/>
          </w:tcPr>
          <w:p w14:paraId="1B12F014" w14:textId="77777777" w:rsidR="005F7FFB" w:rsidRDefault="005F7FFB" w:rsidP="005F7FFB">
            <w:pPr>
              <w:rPr>
                <w:rFonts w:ascii="Times New Roman" w:hAnsi="Times New Roman"/>
                <w:b/>
                <w:szCs w:val="24"/>
              </w:rPr>
            </w:pPr>
          </w:p>
        </w:tc>
        <w:tc>
          <w:tcPr>
            <w:tcW w:w="2796" w:type="dxa"/>
          </w:tcPr>
          <w:p w14:paraId="4090FA1F" w14:textId="43E29841" w:rsidR="005F7FFB" w:rsidRDefault="005F7FFB" w:rsidP="005F7FFB">
            <w:pPr>
              <w:rPr>
                <w:rFonts w:ascii="Times New Roman" w:hAnsi="Times New Roman"/>
                <w:b/>
                <w:szCs w:val="24"/>
              </w:rPr>
            </w:pPr>
            <w:r>
              <w:rPr>
                <w:rFonts w:ascii="Times New Roman" w:hAnsi="Times New Roman"/>
                <w:b/>
                <w:szCs w:val="24"/>
              </w:rPr>
              <w:t>What resonates</w:t>
            </w:r>
          </w:p>
        </w:tc>
        <w:tc>
          <w:tcPr>
            <w:tcW w:w="2796" w:type="dxa"/>
          </w:tcPr>
          <w:p w14:paraId="14D83C59" w14:textId="66F7D957" w:rsidR="005F7FFB" w:rsidRDefault="005F7FFB" w:rsidP="005F7FFB">
            <w:pPr>
              <w:rPr>
                <w:rFonts w:ascii="Times New Roman" w:hAnsi="Times New Roman"/>
                <w:b/>
                <w:szCs w:val="24"/>
              </w:rPr>
            </w:pPr>
            <w:r>
              <w:rPr>
                <w:rFonts w:ascii="Times New Roman" w:hAnsi="Times New Roman"/>
                <w:b/>
                <w:szCs w:val="24"/>
              </w:rPr>
              <w:t>What is unclear</w:t>
            </w:r>
          </w:p>
        </w:tc>
        <w:tc>
          <w:tcPr>
            <w:tcW w:w="2796" w:type="dxa"/>
          </w:tcPr>
          <w:p w14:paraId="468FE7F1" w14:textId="4D59D5BE" w:rsidR="005F7FFB" w:rsidRDefault="005F7FFB" w:rsidP="005F7FFB">
            <w:pPr>
              <w:rPr>
                <w:rFonts w:ascii="Times New Roman" w:hAnsi="Times New Roman"/>
                <w:b/>
                <w:szCs w:val="24"/>
              </w:rPr>
            </w:pPr>
            <w:r>
              <w:rPr>
                <w:rFonts w:ascii="Times New Roman" w:hAnsi="Times New Roman"/>
                <w:b/>
                <w:szCs w:val="24"/>
              </w:rPr>
              <w:t>What do you absorb</w:t>
            </w:r>
          </w:p>
        </w:tc>
      </w:tr>
      <w:tr w:rsidR="005F7FFB" w:rsidRPr="005F7FFB" w14:paraId="4FBFBED7" w14:textId="77777777" w:rsidTr="000C102F">
        <w:trPr>
          <w:trHeight w:val="1923"/>
        </w:trPr>
        <w:tc>
          <w:tcPr>
            <w:tcW w:w="1818" w:type="dxa"/>
          </w:tcPr>
          <w:p w14:paraId="3C9E58F1" w14:textId="0A69AC86" w:rsidR="005F7FFB" w:rsidRPr="005F7FFB" w:rsidRDefault="005F7FFB" w:rsidP="005F7FFB">
            <w:pPr>
              <w:rPr>
                <w:rFonts w:ascii="Times New Roman" w:hAnsi="Times New Roman"/>
                <w:szCs w:val="24"/>
              </w:rPr>
            </w:pPr>
            <w:r w:rsidRPr="005F7FFB">
              <w:rPr>
                <w:rFonts w:ascii="Times New Roman" w:hAnsi="Times New Roman"/>
                <w:szCs w:val="24"/>
              </w:rPr>
              <w:t>Enid Lee</w:t>
            </w:r>
          </w:p>
        </w:tc>
        <w:tc>
          <w:tcPr>
            <w:tcW w:w="2796" w:type="dxa"/>
          </w:tcPr>
          <w:p w14:paraId="21C6F1B7" w14:textId="77777777" w:rsidR="005F7FFB" w:rsidRPr="005F7FFB" w:rsidRDefault="005F7FFB" w:rsidP="005F7FFB">
            <w:pPr>
              <w:rPr>
                <w:rFonts w:ascii="Times New Roman" w:hAnsi="Times New Roman"/>
                <w:szCs w:val="24"/>
              </w:rPr>
            </w:pPr>
          </w:p>
        </w:tc>
        <w:tc>
          <w:tcPr>
            <w:tcW w:w="2796" w:type="dxa"/>
          </w:tcPr>
          <w:p w14:paraId="6833BCFD" w14:textId="77777777" w:rsidR="005F7FFB" w:rsidRPr="005F7FFB" w:rsidRDefault="005F7FFB" w:rsidP="005F7FFB">
            <w:pPr>
              <w:rPr>
                <w:rFonts w:ascii="Times New Roman" w:hAnsi="Times New Roman"/>
                <w:szCs w:val="24"/>
              </w:rPr>
            </w:pPr>
          </w:p>
        </w:tc>
        <w:tc>
          <w:tcPr>
            <w:tcW w:w="2796" w:type="dxa"/>
          </w:tcPr>
          <w:p w14:paraId="23E62901" w14:textId="77777777" w:rsidR="005F7FFB" w:rsidRPr="005F7FFB" w:rsidRDefault="005F7FFB" w:rsidP="005F7FFB">
            <w:pPr>
              <w:rPr>
                <w:rFonts w:ascii="Times New Roman" w:hAnsi="Times New Roman"/>
                <w:szCs w:val="24"/>
              </w:rPr>
            </w:pPr>
          </w:p>
        </w:tc>
      </w:tr>
      <w:tr w:rsidR="005F7FFB" w:rsidRPr="005F7FFB" w14:paraId="4F27860C" w14:textId="77777777" w:rsidTr="000C102F">
        <w:trPr>
          <w:trHeight w:val="1923"/>
        </w:trPr>
        <w:tc>
          <w:tcPr>
            <w:tcW w:w="1818" w:type="dxa"/>
          </w:tcPr>
          <w:p w14:paraId="0A090FC8" w14:textId="130C43A2" w:rsidR="005F7FFB" w:rsidRPr="005F7FFB" w:rsidRDefault="005F7FFB" w:rsidP="005F7FFB">
            <w:pPr>
              <w:rPr>
                <w:rFonts w:ascii="Times New Roman" w:hAnsi="Times New Roman"/>
                <w:szCs w:val="24"/>
              </w:rPr>
            </w:pPr>
            <w:r w:rsidRPr="005F7FFB">
              <w:rPr>
                <w:rFonts w:ascii="Times New Roman" w:hAnsi="Times New Roman"/>
                <w:szCs w:val="24"/>
              </w:rPr>
              <w:t>Glenn Singleton</w:t>
            </w:r>
          </w:p>
        </w:tc>
        <w:tc>
          <w:tcPr>
            <w:tcW w:w="2796" w:type="dxa"/>
          </w:tcPr>
          <w:p w14:paraId="18AF1EAF" w14:textId="77777777" w:rsidR="005F7FFB" w:rsidRPr="005F7FFB" w:rsidRDefault="005F7FFB" w:rsidP="005F7FFB">
            <w:pPr>
              <w:rPr>
                <w:rFonts w:ascii="Times New Roman" w:hAnsi="Times New Roman"/>
                <w:szCs w:val="24"/>
              </w:rPr>
            </w:pPr>
          </w:p>
        </w:tc>
        <w:tc>
          <w:tcPr>
            <w:tcW w:w="2796" w:type="dxa"/>
          </w:tcPr>
          <w:p w14:paraId="1138EDCD" w14:textId="77777777" w:rsidR="005F7FFB" w:rsidRPr="005F7FFB" w:rsidRDefault="005F7FFB" w:rsidP="005F7FFB">
            <w:pPr>
              <w:rPr>
                <w:rFonts w:ascii="Times New Roman" w:hAnsi="Times New Roman"/>
                <w:szCs w:val="24"/>
              </w:rPr>
            </w:pPr>
          </w:p>
        </w:tc>
        <w:tc>
          <w:tcPr>
            <w:tcW w:w="2796" w:type="dxa"/>
          </w:tcPr>
          <w:p w14:paraId="50079D39" w14:textId="77777777" w:rsidR="005F7FFB" w:rsidRPr="005F7FFB" w:rsidRDefault="005F7FFB" w:rsidP="005F7FFB">
            <w:pPr>
              <w:rPr>
                <w:rFonts w:ascii="Times New Roman" w:hAnsi="Times New Roman"/>
                <w:szCs w:val="24"/>
              </w:rPr>
            </w:pPr>
          </w:p>
        </w:tc>
      </w:tr>
      <w:tr w:rsidR="005F7FFB" w:rsidRPr="005F7FFB" w14:paraId="151985E5" w14:textId="77777777" w:rsidTr="000C102F">
        <w:trPr>
          <w:trHeight w:val="1923"/>
        </w:trPr>
        <w:tc>
          <w:tcPr>
            <w:tcW w:w="1818" w:type="dxa"/>
          </w:tcPr>
          <w:p w14:paraId="3A4E5B3E" w14:textId="588B651B" w:rsidR="005F7FFB" w:rsidRPr="005F7FFB" w:rsidRDefault="005F7FFB" w:rsidP="005F7FFB">
            <w:pPr>
              <w:rPr>
                <w:rFonts w:ascii="Times New Roman" w:hAnsi="Times New Roman"/>
                <w:szCs w:val="24"/>
              </w:rPr>
            </w:pPr>
            <w:r w:rsidRPr="005F7FFB">
              <w:rPr>
                <w:rFonts w:ascii="Times New Roman" w:hAnsi="Times New Roman"/>
                <w:szCs w:val="24"/>
              </w:rPr>
              <w:t>Edward Fergus</w:t>
            </w:r>
          </w:p>
        </w:tc>
        <w:tc>
          <w:tcPr>
            <w:tcW w:w="2796" w:type="dxa"/>
          </w:tcPr>
          <w:p w14:paraId="6B0F2E0A" w14:textId="77777777" w:rsidR="005F7FFB" w:rsidRPr="005F7FFB" w:rsidRDefault="005F7FFB" w:rsidP="005F7FFB">
            <w:pPr>
              <w:rPr>
                <w:rFonts w:ascii="Times New Roman" w:hAnsi="Times New Roman"/>
                <w:szCs w:val="24"/>
              </w:rPr>
            </w:pPr>
          </w:p>
        </w:tc>
        <w:tc>
          <w:tcPr>
            <w:tcW w:w="2796" w:type="dxa"/>
          </w:tcPr>
          <w:p w14:paraId="406631A4" w14:textId="77777777" w:rsidR="005F7FFB" w:rsidRPr="005F7FFB" w:rsidRDefault="005F7FFB" w:rsidP="005F7FFB">
            <w:pPr>
              <w:rPr>
                <w:rFonts w:ascii="Times New Roman" w:hAnsi="Times New Roman"/>
                <w:szCs w:val="24"/>
              </w:rPr>
            </w:pPr>
          </w:p>
        </w:tc>
        <w:tc>
          <w:tcPr>
            <w:tcW w:w="2796" w:type="dxa"/>
          </w:tcPr>
          <w:p w14:paraId="2B8B2BBC" w14:textId="77777777" w:rsidR="005F7FFB" w:rsidRPr="005F7FFB" w:rsidRDefault="005F7FFB" w:rsidP="005F7FFB">
            <w:pPr>
              <w:rPr>
                <w:rFonts w:ascii="Times New Roman" w:hAnsi="Times New Roman"/>
                <w:szCs w:val="24"/>
              </w:rPr>
            </w:pPr>
          </w:p>
        </w:tc>
      </w:tr>
      <w:tr w:rsidR="005F7FFB" w:rsidRPr="005F7FFB" w14:paraId="6D968E6B" w14:textId="77777777" w:rsidTr="000C102F">
        <w:trPr>
          <w:trHeight w:val="1923"/>
        </w:trPr>
        <w:tc>
          <w:tcPr>
            <w:tcW w:w="1818" w:type="dxa"/>
          </w:tcPr>
          <w:p w14:paraId="0F325752" w14:textId="76B2B30B" w:rsidR="005F7FFB" w:rsidRPr="005F7FFB" w:rsidRDefault="005F7FFB" w:rsidP="005F7FFB">
            <w:pPr>
              <w:rPr>
                <w:rFonts w:ascii="Times New Roman" w:hAnsi="Times New Roman"/>
                <w:szCs w:val="24"/>
              </w:rPr>
            </w:pPr>
            <w:r w:rsidRPr="005F7FFB">
              <w:rPr>
                <w:rFonts w:ascii="Times New Roman" w:hAnsi="Times New Roman"/>
                <w:szCs w:val="24"/>
              </w:rPr>
              <w:t>H. Richard Milner</w:t>
            </w:r>
          </w:p>
        </w:tc>
        <w:tc>
          <w:tcPr>
            <w:tcW w:w="2796" w:type="dxa"/>
          </w:tcPr>
          <w:p w14:paraId="194C8FF3" w14:textId="77777777" w:rsidR="005F7FFB" w:rsidRPr="005F7FFB" w:rsidRDefault="005F7FFB" w:rsidP="005F7FFB">
            <w:pPr>
              <w:rPr>
                <w:rFonts w:ascii="Times New Roman" w:hAnsi="Times New Roman"/>
                <w:szCs w:val="24"/>
              </w:rPr>
            </w:pPr>
          </w:p>
        </w:tc>
        <w:tc>
          <w:tcPr>
            <w:tcW w:w="2796" w:type="dxa"/>
          </w:tcPr>
          <w:p w14:paraId="293B28BB" w14:textId="77777777" w:rsidR="005F7FFB" w:rsidRPr="005F7FFB" w:rsidRDefault="005F7FFB" w:rsidP="005F7FFB">
            <w:pPr>
              <w:rPr>
                <w:rFonts w:ascii="Times New Roman" w:hAnsi="Times New Roman"/>
                <w:szCs w:val="24"/>
              </w:rPr>
            </w:pPr>
          </w:p>
        </w:tc>
        <w:tc>
          <w:tcPr>
            <w:tcW w:w="2796" w:type="dxa"/>
          </w:tcPr>
          <w:p w14:paraId="5D966466" w14:textId="77777777" w:rsidR="005F7FFB" w:rsidRPr="005F7FFB" w:rsidRDefault="005F7FFB" w:rsidP="005F7FFB">
            <w:pPr>
              <w:rPr>
                <w:rFonts w:ascii="Times New Roman" w:hAnsi="Times New Roman"/>
                <w:szCs w:val="24"/>
              </w:rPr>
            </w:pPr>
          </w:p>
        </w:tc>
      </w:tr>
      <w:tr w:rsidR="005F7FFB" w:rsidRPr="005F7FFB" w14:paraId="1575F539" w14:textId="77777777" w:rsidTr="000C102F">
        <w:trPr>
          <w:trHeight w:val="1923"/>
        </w:trPr>
        <w:tc>
          <w:tcPr>
            <w:tcW w:w="1818" w:type="dxa"/>
          </w:tcPr>
          <w:p w14:paraId="28809FCB" w14:textId="694D5030" w:rsidR="005F7FFB" w:rsidRPr="005F7FFB" w:rsidRDefault="005F7FFB" w:rsidP="005F7FFB">
            <w:pPr>
              <w:rPr>
                <w:rFonts w:ascii="Times New Roman" w:hAnsi="Times New Roman"/>
                <w:szCs w:val="24"/>
              </w:rPr>
            </w:pPr>
            <w:r w:rsidRPr="005F7FFB">
              <w:rPr>
                <w:rFonts w:ascii="Times New Roman" w:hAnsi="Times New Roman"/>
                <w:szCs w:val="24"/>
              </w:rPr>
              <w:t>Gloria Ladson-Billings</w:t>
            </w:r>
          </w:p>
        </w:tc>
        <w:tc>
          <w:tcPr>
            <w:tcW w:w="2796" w:type="dxa"/>
          </w:tcPr>
          <w:p w14:paraId="697EEA89" w14:textId="77777777" w:rsidR="005F7FFB" w:rsidRPr="005F7FFB" w:rsidRDefault="005F7FFB" w:rsidP="005F7FFB">
            <w:pPr>
              <w:rPr>
                <w:rFonts w:ascii="Times New Roman" w:hAnsi="Times New Roman"/>
                <w:szCs w:val="24"/>
              </w:rPr>
            </w:pPr>
          </w:p>
        </w:tc>
        <w:tc>
          <w:tcPr>
            <w:tcW w:w="2796" w:type="dxa"/>
          </w:tcPr>
          <w:p w14:paraId="44F88806" w14:textId="77777777" w:rsidR="005F7FFB" w:rsidRPr="005F7FFB" w:rsidRDefault="005F7FFB" w:rsidP="005F7FFB">
            <w:pPr>
              <w:rPr>
                <w:rFonts w:ascii="Times New Roman" w:hAnsi="Times New Roman"/>
                <w:szCs w:val="24"/>
              </w:rPr>
            </w:pPr>
          </w:p>
        </w:tc>
        <w:tc>
          <w:tcPr>
            <w:tcW w:w="2796" w:type="dxa"/>
          </w:tcPr>
          <w:p w14:paraId="0D872A7F" w14:textId="77777777" w:rsidR="005F7FFB" w:rsidRPr="005F7FFB" w:rsidRDefault="005F7FFB" w:rsidP="005F7FFB">
            <w:pPr>
              <w:rPr>
                <w:rFonts w:ascii="Times New Roman" w:hAnsi="Times New Roman"/>
                <w:szCs w:val="24"/>
              </w:rPr>
            </w:pPr>
          </w:p>
        </w:tc>
      </w:tr>
    </w:tbl>
    <w:p w14:paraId="26E886A6" w14:textId="77777777" w:rsidR="005F7FFB" w:rsidRDefault="005F7FFB" w:rsidP="005F7FFB">
      <w:pPr>
        <w:rPr>
          <w:rFonts w:ascii="Times New Roman" w:hAnsi="Times New Roman"/>
          <w:b/>
          <w:szCs w:val="24"/>
        </w:rPr>
      </w:pPr>
    </w:p>
    <w:p w14:paraId="41824454" w14:textId="77777777" w:rsidR="005F7FFB" w:rsidRDefault="005F7FFB" w:rsidP="005F7FFB">
      <w:pPr>
        <w:jc w:val="center"/>
        <w:rPr>
          <w:rFonts w:ascii="Times New Roman" w:hAnsi="Times New Roman"/>
          <w:b/>
          <w:szCs w:val="24"/>
        </w:rPr>
      </w:pPr>
    </w:p>
    <w:p w14:paraId="09295AF8" w14:textId="536ABC12" w:rsidR="009A714C" w:rsidRPr="002F453B" w:rsidRDefault="009A714C" w:rsidP="009A714C">
      <w:pPr>
        <w:rPr>
          <w:rFonts w:ascii="Times New Roman" w:hAnsi="Times New Roman"/>
          <w:b/>
          <w:szCs w:val="24"/>
        </w:rPr>
      </w:pPr>
    </w:p>
    <w:sectPr w:rsidR="009A714C" w:rsidRPr="002F453B" w:rsidSect="005F7FFB">
      <w:pgSz w:w="12240" w:h="15840"/>
      <w:pgMar w:top="1530" w:right="1080" w:bottom="126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F487E" w14:textId="77777777" w:rsidR="002D5433" w:rsidRDefault="002D5433">
      <w:r>
        <w:separator/>
      </w:r>
    </w:p>
  </w:endnote>
  <w:endnote w:type="continuationSeparator" w:id="0">
    <w:p w14:paraId="7E73D0F2" w14:textId="77777777" w:rsidR="002D5433" w:rsidRDefault="002D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49763" w14:textId="77777777" w:rsidR="002D5433" w:rsidRDefault="002D5433">
      <w:r>
        <w:separator/>
      </w:r>
    </w:p>
  </w:footnote>
  <w:footnote w:type="continuationSeparator" w:id="0">
    <w:p w14:paraId="7AD82BC8" w14:textId="77777777" w:rsidR="002D5433" w:rsidRDefault="002D54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D5C"/>
    <w:multiLevelType w:val="hybridMultilevel"/>
    <w:tmpl w:val="5282A616"/>
    <w:lvl w:ilvl="0" w:tplc="095A3746">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54571"/>
    <w:multiLevelType w:val="hybridMultilevel"/>
    <w:tmpl w:val="B876043E"/>
    <w:lvl w:ilvl="0" w:tplc="A8CAF530">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C7032F"/>
    <w:multiLevelType w:val="hybridMultilevel"/>
    <w:tmpl w:val="A5F06776"/>
    <w:lvl w:ilvl="0" w:tplc="7C2869CA">
      <w:start w:val="1"/>
      <w:numFmt w:val="bullet"/>
      <w:lvlText w:val="•"/>
      <w:lvlJc w:val="left"/>
      <w:pPr>
        <w:tabs>
          <w:tab w:val="num" w:pos="720"/>
        </w:tabs>
        <w:ind w:left="720" w:hanging="360"/>
      </w:pPr>
      <w:rPr>
        <w:rFonts w:ascii="Times" w:hAnsi="Times" w:hint="default"/>
      </w:rPr>
    </w:lvl>
    <w:lvl w:ilvl="1" w:tplc="FD1CB9AA" w:tentative="1">
      <w:start w:val="1"/>
      <w:numFmt w:val="bullet"/>
      <w:lvlText w:val="•"/>
      <w:lvlJc w:val="left"/>
      <w:pPr>
        <w:tabs>
          <w:tab w:val="num" w:pos="1440"/>
        </w:tabs>
        <w:ind w:left="1440" w:hanging="360"/>
      </w:pPr>
      <w:rPr>
        <w:rFonts w:ascii="Times" w:hAnsi="Times" w:hint="default"/>
      </w:rPr>
    </w:lvl>
    <w:lvl w:ilvl="2" w:tplc="4D808E50" w:tentative="1">
      <w:start w:val="1"/>
      <w:numFmt w:val="bullet"/>
      <w:lvlText w:val="•"/>
      <w:lvlJc w:val="left"/>
      <w:pPr>
        <w:tabs>
          <w:tab w:val="num" w:pos="2160"/>
        </w:tabs>
        <w:ind w:left="2160" w:hanging="360"/>
      </w:pPr>
      <w:rPr>
        <w:rFonts w:ascii="Times" w:hAnsi="Times" w:hint="default"/>
      </w:rPr>
    </w:lvl>
    <w:lvl w:ilvl="3" w:tplc="3EFA8028" w:tentative="1">
      <w:start w:val="1"/>
      <w:numFmt w:val="bullet"/>
      <w:lvlText w:val="•"/>
      <w:lvlJc w:val="left"/>
      <w:pPr>
        <w:tabs>
          <w:tab w:val="num" w:pos="2880"/>
        </w:tabs>
        <w:ind w:left="2880" w:hanging="360"/>
      </w:pPr>
      <w:rPr>
        <w:rFonts w:ascii="Times" w:hAnsi="Times" w:hint="default"/>
      </w:rPr>
    </w:lvl>
    <w:lvl w:ilvl="4" w:tplc="E3E21052" w:tentative="1">
      <w:start w:val="1"/>
      <w:numFmt w:val="bullet"/>
      <w:lvlText w:val="•"/>
      <w:lvlJc w:val="left"/>
      <w:pPr>
        <w:tabs>
          <w:tab w:val="num" w:pos="3600"/>
        </w:tabs>
        <w:ind w:left="3600" w:hanging="360"/>
      </w:pPr>
      <w:rPr>
        <w:rFonts w:ascii="Times" w:hAnsi="Times" w:hint="default"/>
      </w:rPr>
    </w:lvl>
    <w:lvl w:ilvl="5" w:tplc="66CC2214" w:tentative="1">
      <w:start w:val="1"/>
      <w:numFmt w:val="bullet"/>
      <w:lvlText w:val="•"/>
      <w:lvlJc w:val="left"/>
      <w:pPr>
        <w:tabs>
          <w:tab w:val="num" w:pos="4320"/>
        </w:tabs>
        <w:ind w:left="4320" w:hanging="360"/>
      </w:pPr>
      <w:rPr>
        <w:rFonts w:ascii="Times" w:hAnsi="Times" w:hint="default"/>
      </w:rPr>
    </w:lvl>
    <w:lvl w:ilvl="6" w:tplc="A572B74E" w:tentative="1">
      <w:start w:val="1"/>
      <w:numFmt w:val="bullet"/>
      <w:lvlText w:val="•"/>
      <w:lvlJc w:val="left"/>
      <w:pPr>
        <w:tabs>
          <w:tab w:val="num" w:pos="5040"/>
        </w:tabs>
        <w:ind w:left="5040" w:hanging="360"/>
      </w:pPr>
      <w:rPr>
        <w:rFonts w:ascii="Times" w:hAnsi="Times" w:hint="default"/>
      </w:rPr>
    </w:lvl>
    <w:lvl w:ilvl="7" w:tplc="A9628FD2" w:tentative="1">
      <w:start w:val="1"/>
      <w:numFmt w:val="bullet"/>
      <w:lvlText w:val="•"/>
      <w:lvlJc w:val="left"/>
      <w:pPr>
        <w:tabs>
          <w:tab w:val="num" w:pos="5760"/>
        </w:tabs>
        <w:ind w:left="5760" w:hanging="360"/>
      </w:pPr>
      <w:rPr>
        <w:rFonts w:ascii="Times" w:hAnsi="Times" w:hint="default"/>
      </w:rPr>
    </w:lvl>
    <w:lvl w:ilvl="8" w:tplc="E3E8D9C8" w:tentative="1">
      <w:start w:val="1"/>
      <w:numFmt w:val="bullet"/>
      <w:lvlText w:val="•"/>
      <w:lvlJc w:val="left"/>
      <w:pPr>
        <w:tabs>
          <w:tab w:val="num" w:pos="6480"/>
        </w:tabs>
        <w:ind w:left="6480" w:hanging="360"/>
      </w:pPr>
      <w:rPr>
        <w:rFonts w:ascii="Times" w:hAnsi="Times" w:hint="default"/>
      </w:rPr>
    </w:lvl>
  </w:abstractNum>
  <w:abstractNum w:abstractNumId="3">
    <w:nsid w:val="49772FAE"/>
    <w:multiLevelType w:val="hybridMultilevel"/>
    <w:tmpl w:val="D96453A6"/>
    <w:lvl w:ilvl="0" w:tplc="A8CAF530">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BC363D"/>
    <w:multiLevelType w:val="hybridMultilevel"/>
    <w:tmpl w:val="ED92B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D022FF"/>
    <w:multiLevelType w:val="hybridMultilevel"/>
    <w:tmpl w:val="2092D18E"/>
    <w:lvl w:ilvl="0" w:tplc="92A2B592">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50"/>
    <w:rsid w:val="00041D8D"/>
    <w:rsid w:val="0004235B"/>
    <w:rsid w:val="0006375F"/>
    <w:rsid w:val="000C102F"/>
    <w:rsid w:val="000C3154"/>
    <w:rsid w:val="000C4147"/>
    <w:rsid w:val="00104D66"/>
    <w:rsid w:val="00167E8B"/>
    <w:rsid w:val="001C193C"/>
    <w:rsid w:val="0021150A"/>
    <w:rsid w:val="00235F16"/>
    <w:rsid w:val="00281C61"/>
    <w:rsid w:val="002D5433"/>
    <w:rsid w:val="002D5766"/>
    <w:rsid w:val="002F453B"/>
    <w:rsid w:val="00301587"/>
    <w:rsid w:val="003444E1"/>
    <w:rsid w:val="00351000"/>
    <w:rsid w:val="00386AE3"/>
    <w:rsid w:val="003912DA"/>
    <w:rsid w:val="00392DBC"/>
    <w:rsid w:val="003F4BC0"/>
    <w:rsid w:val="0040300E"/>
    <w:rsid w:val="0048359F"/>
    <w:rsid w:val="004A1773"/>
    <w:rsid w:val="004A25F1"/>
    <w:rsid w:val="004D093C"/>
    <w:rsid w:val="004E47A8"/>
    <w:rsid w:val="005A4857"/>
    <w:rsid w:val="005A7A22"/>
    <w:rsid w:val="005C5795"/>
    <w:rsid w:val="005F7FFB"/>
    <w:rsid w:val="00631D75"/>
    <w:rsid w:val="006B5DB5"/>
    <w:rsid w:val="006E572F"/>
    <w:rsid w:val="00722750"/>
    <w:rsid w:val="00740487"/>
    <w:rsid w:val="00782989"/>
    <w:rsid w:val="0079043C"/>
    <w:rsid w:val="007B3B9F"/>
    <w:rsid w:val="007B4ECE"/>
    <w:rsid w:val="007F1D4E"/>
    <w:rsid w:val="00807AEC"/>
    <w:rsid w:val="00877F88"/>
    <w:rsid w:val="00887640"/>
    <w:rsid w:val="008C3F09"/>
    <w:rsid w:val="0099417D"/>
    <w:rsid w:val="009A714C"/>
    <w:rsid w:val="009B23A2"/>
    <w:rsid w:val="00A0257C"/>
    <w:rsid w:val="00A15BBC"/>
    <w:rsid w:val="00A20961"/>
    <w:rsid w:val="00A524A1"/>
    <w:rsid w:val="00A813CE"/>
    <w:rsid w:val="00AB1E40"/>
    <w:rsid w:val="00AF4C99"/>
    <w:rsid w:val="00AF575D"/>
    <w:rsid w:val="00B07137"/>
    <w:rsid w:val="00B50D2C"/>
    <w:rsid w:val="00BD549A"/>
    <w:rsid w:val="00C07469"/>
    <w:rsid w:val="00D447F7"/>
    <w:rsid w:val="00D81582"/>
    <w:rsid w:val="00D93136"/>
    <w:rsid w:val="00DC49E1"/>
    <w:rsid w:val="00DC6C63"/>
    <w:rsid w:val="00DE36C2"/>
    <w:rsid w:val="00E556E0"/>
    <w:rsid w:val="00E6324B"/>
    <w:rsid w:val="00E81390"/>
    <w:rsid w:val="00EA3709"/>
    <w:rsid w:val="00EC6785"/>
    <w:rsid w:val="00EF4785"/>
    <w:rsid w:val="00EF535E"/>
    <w:rsid w:val="00F30087"/>
    <w:rsid w:val="00F90450"/>
    <w:rsid w:val="00FB7D0F"/>
    <w:rsid w:val="00FD3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7EC29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F16"/>
    <w:rPr>
      <w:rFonts w:ascii="Times" w:eastAsia="Times" w:hAnsi="Times"/>
      <w:sz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rFonts w:ascii="Lucida Sans Unicode" w:hAnsi="Lucida Sans Unicode" w:cs="Lucida Sans Unicode"/>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DC49E1"/>
    <w:rPr>
      <w:rFonts w:ascii="Lucida Grande" w:hAnsi="Lucida Grande" w:cs="Lucida Grande"/>
      <w:sz w:val="18"/>
      <w:szCs w:val="18"/>
    </w:rPr>
  </w:style>
  <w:style w:type="character" w:customStyle="1" w:styleId="BalloonTextChar">
    <w:name w:val="Balloon Text Char"/>
    <w:basedOn w:val="DefaultParagraphFont"/>
    <w:link w:val="BalloonText"/>
    <w:rsid w:val="00DC49E1"/>
    <w:rPr>
      <w:rFonts w:ascii="Lucida Grande" w:eastAsia="Times" w:hAnsi="Lucida Grande" w:cs="Lucida Grande"/>
      <w:sz w:val="18"/>
      <w:szCs w:val="18"/>
    </w:rPr>
  </w:style>
  <w:style w:type="table" w:styleId="TableGrid">
    <w:name w:val="Table Grid"/>
    <w:basedOn w:val="TableNormal"/>
    <w:rsid w:val="00790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A714C"/>
    <w:pPr>
      <w:widowControl w:val="0"/>
      <w:autoSpaceDE w:val="0"/>
      <w:autoSpaceDN w:val="0"/>
      <w:adjustRightInd w:val="0"/>
    </w:pPr>
    <w:rPr>
      <w:rFonts w:ascii="Arial" w:eastAsiaTheme="minorEastAsia" w:hAnsi="Arial" w:cs="Arial"/>
      <w:color w:val="000000"/>
      <w:sz w:val="24"/>
      <w:szCs w:val="24"/>
    </w:rPr>
  </w:style>
  <w:style w:type="paragraph" w:customStyle="1" w:styleId="Body1">
    <w:name w:val="Body 1"/>
    <w:autoRedefine/>
    <w:rsid w:val="009A714C"/>
    <w:pPr>
      <w:outlineLvl w:val="0"/>
    </w:pPr>
    <w:rPr>
      <w:rFonts w:eastAsia="Arial Unicode MS"/>
      <w:color w:val="000000"/>
      <w:sz w:val="24"/>
      <w:u w:color="000000"/>
    </w:rPr>
  </w:style>
  <w:style w:type="paragraph" w:styleId="NormalWeb">
    <w:name w:val="Normal (Web)"/>
    <w:basedOn w:val="Normal"/>
    <w:uiPriority w:val="99"/>
    <w:unhideWhenUsed/>
    <w:rsid w:val="00BD549A"/>
    <w:pPr>
      <w:spacing w:before="100" w:beforeAutospacing="1" w:after="100" w:afterAutospacing="1"/>
    </w:pPr>
    <w:rPr>
      <w:rFonts w:eastAsia="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F16"/>
    <w:rPr>
      <w:rFonts w:ascii="Times" w:eastAsia="Times" w:hAnsi="Times"/>
      <w:sz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rFonts w:ascii="Lucida Sans Unicode" w:hAnsi="Lucida Sans Unicode" w:cs="Lucida Sans Unicode"/>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DC49E1"/>
    <w:rPr>
      <w:rFonts w:ascii="Lucida Grande" w:hAnsi="Lucida Grande" w:cs="Lucida Grande"/>
      <w:sz w:val="18"/>
      <w:szCs w:val="18"/>
    </w:rPr>
  </w:style>
  <w:style w:type="character" w:customStyle="1" w:styleId="BalloonTextChar">
    <w:name w:val="Balloon Text Char"/>
    <w:basedOn w:val="DefaultParagraphFont"/>
    <w:link w:val="BalloonText"/>
    <w:rsid w:val="00DC49E1"/>
    <w:rPr>
      <w:rFonts w:ascii="Lucida Grande" w:eastAsia="Times" w:hAnsi="Lucida Grande" w:cs="Lucida Grande"/>
      <w:sz w:val="18"/>
      <w:szCs w:val="18"/>
    </w:rPr>
  </w:style>
  <w:style w:type="table" w:styleId="TableGrid">
    <w:name w:val="Table Grid"/>
    <w:basedOn w:val="TableNormal"/>
    <w:rsid w:val="00790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A714C"/>
    <w:pPr>
      <w:widowControl w:val="0"/>
      <w:autoSpaceDE w:val="0"/>
      <w:autoSpaceDN w:val="0"/>
      <w:adjustRightInd w:val="0"/>
    </w:pPr>
    <w:rPr>
      <w:rFonts w:ascii="Arial" w:eastAsiaTheme="minorEastAsia" w:hAnsi="Arial" w:cs="Arial"/>
      <w:color w:val="000000"/>
      <w:sz w:val="24"/>
      <w:szCs w:val="24"/>
    </w:rPr>
  </w:style>
  <w:style w:type="paragraph" w:customStyle="1" w:styleId="Body1">
    <w:name w:val="Body 1"/>
    <w:autoRedefine/>
    <w:rsid w:val="009A714C"/>
    <w:pPr>
      <w:outlineLvl w:val="0"/>
    </w:pPr>
    <w:rPr>
      <w:rFonts w:eastAsia="Arial Unicode MS"/>
      <w:color w:val="000000"/>
      <w:sz w:val="24"/>
      <w:u w:color="000000"/>
    </w:rPr>
  </w:style>
  <w:style w:type="paragraph" w:styleId="NormalWeb">
    <w:name w:val="Normal (Web)"/>
    <w:basedOn w:val="Normal"/>
    <w:uiPriority w:val="99"/>
    <w:unhideWhenUsed/>
    <w:rsid w:val="00BD549A"/>
    <w:pPr>
      <w:spacing w:before="100" w:beforeAutospacing="1" w:after="100" w:afterAutospacing="1"/>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762519">
      <w:bodyDiv w:val="1"/>
      <w:marLeft w:val="0"/>
      <w:marRight w:val="0"/>
      <w:marTop w:val="0"/>
      <w:marBottom w:val="0"/>
      <w:divBdr>
        <w:top w:val="none" w:sz="0" w:space="0" w:color="auto"/>
        <w:left w:val="none" w:sz="0" w:space="0" w:color="auto"/>
        <w:bottom w:val="none" w:sz="0" w:space="0" w:color="auto"/>
        <w:right w:val="none" w:sz="0" w:space="0" w:color="auto"/>
      </w:divBdr>
      <w:divsChild>
        <w:div w:id="779841959">
          <w:marLeft w:val="0"/>
          <w:marRight w:val="0"/>
          <w:marTop w:val="0"/>
          <w:marBottom w:val="0"/>
          <w:divBdr>
            <w:top w:val="none" w:sz="0" w:space="0" w:color="auto"/>
            <w:left w:val="none" w:sz="0" w:space="0" w:color="auto"/>
            <w:bottom w:val="none" w:sz="0" w:space="0" w:color="auto"/>
            <w:right w:val="none" w:sz="0" w:space="0" w:color="auto"/>
          </w:divBdr>
          <w:divsChild>
            <w:div w:id="1586527622">
              <w:marLeft w:val="0"/>
              <w:marRight w:val="0"/>
              <w:marTop w:val="0"/>
              <w:marBottom w:val="0"/>
              <w:divBdr>
                <w:top w:val="none" w:sz="0" w:space="0" w:color="auto"/>
                <w:left w:val="none" w:sz="0" w:space="0" w:color="auto"/>
                <w:bottom w:val="none" w:sz="0" w:space="0" w:color="auto"/>
                <w:right w:val="none" w:sz="0" w:space="0" w:color="auto"/>
              </w:divBdr>
              <w:divsChild>
                <w:div w:id="19241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369">
      <w:bodyDiv w:val="1"/>
      <w:marLeft w:val="0"/>
      <w:marRight w:val="0"/>
      <w:marTop w:val="0"/>
      <w:marBottom w:val="0"/>
      <w:divBdr>
        <w:top w:val="none" w:sz="0" w:space="0" w:color="auto"/>
        <w:left w:val="none" w:sz="0" w:space="0" w:color="auto"/>
        <w:bottom w:val="none" w:sz="0" w:space="0" w:color="auto"/>
        <w:right w:val="none" w:sz="0" w:space="0" w:color="auto"/>
      </w:divBdr>
      <w:divsChild>
        <w:div w:id="737482106">
          <w:marLeft w:val="547"/>
          <w:marRight w:val="0"/>
          <w:marTop w:val="115"/>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356</Words>
  <Characters>2030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Schools and Communities Initiative </vt:lpstr>
    </vt:vector>
  </TitlesOfParts>
  <Company>CAS</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Schools and Communities Initiative </dc:title>
  <dc:subject/>
  <dc:creator>eddief</dc:creator>
  <cp:keywords/>
  <dc:description/>
  <cp:lastModifiedBy>Edward Fergus</cp:lastModifiedBy>
  <cp:revision>20</cp:revision>
  <cp:lastPrinted>2014-07-29T15:25:00Z</cp:lastPrinted>
  <dcterms:created xsi:type="dcterms:W3CDTF">2015-07-30T18:52:00Z</dcterms:created>
  <dcterms:modified xsi:type="dcterms:W3CDTF">2017-06-09T23:12:00Z</dcterms:modified>
</cp:coreProperties>
</file>